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7EF" w:rsidRPr="00D34EC5" w:rsidP="00EF4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EF" w:rsidRPr="00FF57EE" w:rsidP="00EF47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FF57E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382-2102/2024</w:t>
      </w:r>
    </w:p>
    <w:p w:rsidR="00EF47EF" w:rsidRPr="00FF57EE" w:rsidP="00EF47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F57EE">
        <w:rPr>
          <w:rFonts w:ascii="Times New Roman" w:hAnsi="Times New Roman" w:cs="Times New Roman"/>
          <w:b/>
          <w:bCs/>
        </w:rPr>
        <w:t>86MS0042-01-2024-001473-42</w:t>
      </w: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EF" w:rsidRPr="00D34EC5" w:rsidP="00EF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 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F47EF" w:rsidRPr="00D34EC5" w:rsidP="00EF4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Нижневартовска Ханты-Мансийского автономного округа - Югры Вдовина О.В., находящийся по адресу: ХМАО – Югра, г. Нижневартовск, ул. Нефтяников, 6, 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EF47EF" w:rsidRPr="0058014D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Канистяпа Антона Александровича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0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="00CF0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CF0D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Канистяпа А.А., 24.02.2024 года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16:45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12Б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ул. Мира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 Фрид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CF0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перекрестке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образованном четырьмя пересечениями проезжих частей,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маневра  разворота выехал на полосу, предназ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наченную для встречного движения, в нарушение п. 8.6 Правил дорожного движения РФ.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Канистяпа А.А.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7EF" w:rsidRPr="00D34EC5" w:rsidP="00EF47EF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Канистяпа А.А.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исследовал письменные доказательства по делу:</w:t>
      </w:r>
    </w:p>
    <w:p w:rsidR="00EF47EF" w:rsidRPr="00D34EC5" w:rsidP="00EF47EF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577951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Канистяпа А.А.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и объяснений не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7EF" w:rsidRPr="00D34EC5" w:rsidP="00EF47EF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24.02.2024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об административном правонарушении;</w:t>
      </w:r>
    </w:p>
    <w:p w:rsidR="00EF47EF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 Фрид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CF0D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маневр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 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7EF" w:rsidRPr="004964FB" w:rsidP="00EF47EF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>перекрестка,</w:t>
      </w:r>
      <w:r w:rsidRPr="00EF47EF">
        <w:rPr>
          <w:szCs w:val="28"/>
        </w:rPr>
        <w:t xml:space="preserve"> </w:t>
      </w:r>
      <w:r>
        <w:rPr>
          <w:szCs w:val="28"/>
        </w:rPr>
        <w:t xml:space="preserve">образованного четырьмя пересечениями проезжих частей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</w:t>
      </w:r>
      <w:r w:rsidRPr="00D34EC5">
        <w:rPr>
          <w:szCs w:val="28"/>
        </w:rPr>
        <w:t>д.</w:t>
      </w:r>
      <w:r>
        <w:rPr>
          <w:szCs w:val="28"/>
        </w:rPr>
        <w:t xml:space="preserve">12Б </w:t>
      </w:r>
      <w:r w:rsidRPr="00D34EC5">
        <w:rPr>
          <w:szCs w:val="28"/>
        </w:rPr>
        <w:t xml:space="preserve">  по ул. Мира г. Нижневартовска</w:t>
      </w:r>
      <w:r w:rsidRPr="004964FB">
        <w:rPr>
          <w:szCs w:val="28"/>
        </w:rPr>
        <w:t>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не установлена ответственность ч.3 ст.12.15 КоАП РФ.</w:t>
      </w:r>
    </w:p>
    <w:p w:rsidR="00EF47EF" w:rsidRPr="00D34EC5" w:rsidP="00EF47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ами.</w:t>
      </w:r>
    </w:p>
    <w:p w:rsidR="00EF47EF" w:rsidRPr="00D34EC5" w:rsidP="00EF4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EF47EF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A00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Канистяпа А.А.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F47EF" w:rsidRPr="00D34EC5" w:rsidP="00EF47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F47EF" w:rsidRPr="00D34EC5" w:rsidP="00EF47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Канистяпа А.А.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онарушении. Оценивая доказательства в их совокупности, мировой судья квалифицирует его действия по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ч. 4 ст. 12.15 Кодекса Российской Федерации об административных правонарушениях.</w:t>
      </w:r>
    </w:p>
    <w:p w:rsidR="00EF47EF" w:rsidRPr="00D34EC5" w:rsidP="00EF47E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обстоятельству, смягчающему административную ответственность, предусмотрен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ст. 4.2 КоАП РФ, мировой судья относит: признание вины.</w:t>
      </w:r>
    </w:p>
    <w:p w:rsidR="00EF47EF" w:rsidRPr="00D34EC5" w:rsidP="00EF47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D34EC5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34EC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КоАП РФ </w:t>
      </w:r>
      <w:r>
        <w:rPr>
          <w:rFonts w:ascii="Times New Roman" w:hAnsi="Times New Roman" w:cs="Times New Roman"/>
          <w:sz w:val="28"/>
          <w:szCs w:val="28"/>
        </w:rPr>
        <w:t>мировой судья не усматривает.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правонарушения, личность виновного, наличие 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обстоятельств, отягчающих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D34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приходит к выводу, что наказание возможно назначить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  <w:r w:rsidRPr="00D34EC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EF47EF" w:rsidRPr="00D34EC5" w:rsidP="00EF4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Канистяпа Антона Александровича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ым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совершении административного правонарушения, предусмотренного ч. 4 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5 000 (пяти тысяч) рублей.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Югре (УМВД России по Ханты-Мансийскому автономному округу - Югре),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КПП 860101001, ИНН 8601010390, БИК УФК 007162163, Единый казначейский расчетный счет 40102810245370000007, номер казначейского счета 03100643000000018700, Банк РКЦ Ханты-Мансийск//УФК по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Ханты-Мансийскому автономному округу-Югре г. Ханты-Мансийск,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18811601123010001140, ОКТМО 71875000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УИН 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188104862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4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05338</w:t>
      </w:r>
      <w:r w:rsidRPr="00D34EC5"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  <w:t>.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административных правонарушениях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данного постановления, административный штраф может быть уплачен в размере половины суммы наложенного административного штрафа,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 есть в размере </w:t>
      </w:r>
      <w:r w:rsidRPr="00D34EC5">
        <w:rPr>
          <w:rFonts w:ascii="Times New Roman" w:eastAsia="Times New Roman" w:hAnsi="Times New Roman" w:cs="Times New Roman"/>
          <w:color w:val="000080"/>
          <w:sz w:val="28"/>
          <w:szCs w:val="20"/>
          <w:lang w:eastAsia="ru-RU"/>
        </w:rPr>
        <w:t xml:space="preserve">2500 (двух тысяч пятисот) </w:t>
      </w:r>
      <w:r w:rsidRPr="00D34EC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7EF" w:rsidRPr="00D34EC5" w:rsidP="00EF47E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7EF" w:rsidRPr="00D34EC5" w:rsidP="00EF47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F47EF" w:rsidRPr="00D34EC5" w:rsidP="00EF47EF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7EF" w:rsidRPr="00D34EC5" w:rsidP="00EF47EF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EF47EF" w:rsidRPr="00D34EC5" w:rsidP="00EF47E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 О.В.Вдовина</w:t>
      </w:r>
    </w:p>
    <w:p w:rsidR="00EF47EF" w:rsidRPr="00D34EC5" w:rsidP="00EF47EF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EF47EF" w:rsidP="00EF47EF"/>
    <w:p w:rsidR="00EF47EF" w:rsidP="00EF47EF"/>
    <w:p w:rsidR="00EF47EF" w:rsidP="00EF47EF"/>
    <w:p w:rsidR="0047724E"/>
    <w:sectPr w:rsidSect="00C81AAB">
      <w:headerReference w:type="even" r:id="rId11"/>
      <w:headerReference w:type="default" r:id="rId12"/>
      <w:pgSz w:w="11906" w:h="16838"/>
      <w:pgMar w:top="180" w:right="922" w:bottom="567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DE3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EF"/>
    <w:rsid w:val="000718A7"/>
    <w:rsid w:val="0047724E"/>
    <w:rsid w:val="004964FB"/>
    <w:rsid w:val="00510DC6"/>
    <w:rsid w:val="0058014D"/>
    <w:rsid w:val="00806F71"/>
    <w:rsid w:val="00A0027B"/>
    <w:rsid w:val="00B843C6"/>
    <w:rsid w:val="00CF0DE3"/>
    <w:rsid w:val="00D34EC5"/>
    <w:rsid w:val="00EF47EF"/>
    <w:rsid w:val="00FF57EE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6C0D8D-692E-413C-AF49-AB7AFE89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E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F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F47EF"/>
    <w:rPr>
      <w:szCs w:val="22"/>
      <w:lang w:bidi="ar-SA"/>
    </w:rPr>
  </w:style>
  <w:style w:type="character" w:styleId="PageNumber">
    <w:name w:val="page number"/>
    <w:basedOn w:val="DefaultParagraphFont"/>
    <w:rsid w:val="00EF47EF"/>
  </w:style>
  <w:style w:type="paragraph" w:styleId="BodyTextIndent">
    <w:name w:val="Body Text Indent"/>
    <w:basedOn w:val="Normal"/>
    <w:link w:val="a0"/>
    <w:rsid w:val="00EF47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F47EF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